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宋体" w:eastAsia="方正小标宋简体"/>
          <w:sz w:val="44"/>
          <w:szCs w:val="44"/>
        </w:rPr>
      </w:pPr>
      <w:r>
        <w:rPr>
          <w:rFonts w:hint="eastAsia" w:ascii="方正小标宋简体" w:hAnsi="宋体" w:eastAsia="方正小标宋简体"/>
          <w:sz w:val="44"/>
          <w:szCs w:val="44"/>
        </w:rPr>
        <w:t>西南林业大学关于2019年新增硕士点奖补资金</w:t>
      </w:r>
    </w:p>
    <w:p>
      <w:pPr>
        <w:ind w:left="3512" w:leftChars="1463" w:hanging="440" w:hangingChars="100"/>
        <w:jc w:val="both"/>
        <w:rPr>
          <w:rFonts w:ascii="方正小标宋简体" w:eastAsia="方正小标宋简体"/>
          <w:sz w:val="44"/>
          <w:szCs w:val="44"/>
        </w:rPr>
      </w:pPr>
      <w:r>
        <w:rPr>
          <w:rFonts w:hint="eastAsia" w:ascii="方正小标宋简体" w:eastAsia="方正小标宋简体"/>
          <w:sz w:val="44"/>
          <w:szCs w:val="44"/>
        </w:rPr>
        <w:t>绩效自评报告</w:t>
      </w:r>
    </w:p>
    <w:p>
      <w:pPr>
        <w:rPr>
          <w:rFonts w:hint="eastAsia" w:ascii="仿宋_GB2312" w:hAnsi="仿宋" w:eastAsia="仿宋_GB2312"/>
          <w:kern w:val="0"/>
          <w:sz w:val="32"/>
          <w:szCs w:val="32"/>
        </w:rPr>
      </w:pPr>
    </w:p>
    <w:p>
      <w:pPr>
        <w:rPr>
          <w:rFonts w:ascii="仿宋_GB2312" w:hAnsi="仿宋" w:eastAsia="仿宋_GB2312"/>
          <w:kern w:val="0"/>
          <w:sz w:val="32"/>
          <w:szCs w:val="32"/>
        </w:rPr>
      </w:pPr>
      <w:r>
        <w:rPr>
          <w:rFonts w:hint="eastAsia" w:ascii="仿宋_GB2312" w:hAnsi="仿宋" w:eastAsia="仿宋_GB2312"/>
          <w:kern w:val="0"/>
          <w:sz w:val="32"/>
          <w:szCs w:val="32"/>
        </w:rPr>
        <w:t>云南省财政厅、云南省教育厅：</w:t>
      </w:r>
    </w:p>
    <w:p>
      <w:pPr>
        <w:rPr>
          <w:rFonts w:ascii="宋体" w:hAnsi="宋体" w:eastAsia="华文仿宋" w:cs="宋体"/>
          <w:sz w:val="28"/>
          <w:szCs w:val="28"/>
        </w:rPr>
      </w:pPr>
      <w:r>
        <w:rPr>
          <w:rFonts w:hint="eastAsia" w:ascii="仿宋_GB2312" w:hAnsi="仿宋" w:eastAsia="仿宋_GB2312"/>
          <w:kern w:val="0"/>
          <w:sz w:val="32"/>
          <w:szCs w:val="32"/>
        </w:rPr>
        <w:t xml:space="preserve">    根据《云南省财政厅 云南省教育厅关于下达2019年新增博士点、硕士点奖补资金的通知》（云财教[2019]345号）文件要求，我校开展该项目整体绩效自评，</w:t>
      </w:r>
      <w:r>
        <w:rPr>
          <w:rFonts w:hint="eastAsia" w:ascii="仿宋_GB2312" w:hAnsi="华文仿宋" w:eastAsia="仿宋_GB2312" w:cs="仿宋_GB2312"/>
          <w:color w:val="000000"/>
          <w:sz w:val="32"/>
          <w:szCs w:val="32"/>
        </w:rPr>
        <w:t>现将自评有关情况报告如下：</w:t>
      </w:r>
    </w:p>
    <w:p>
      <w:pPr>
        <w:ind w:firstLine="640" w:firstLineChars="200"/>
        <w:rPr>
          <w:rFonts w:ascii="宋体" w:hAnsi="宋体" w:cs="宋体"/>
          <w:sz w:val="28"/>
          <w:szCs w:val="28"/>
        </w:rPr>
      </w:pPr>
      <w:r>
        <w:rPr>
          <w:rFonts w:hint="eastAsia" w:ascii="黑体" w:eastAsia="黑体"/>
          <w:sz w:val="32"/>
          <w:szCs w:val="32"/>
        </w:rPr>
        <w:t>一、项目基本情况</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bCs/>
          <w:sz w:val="32"/>
          <w:szCs w:val="32"/>
        </w:rPr>
        <w:t>项目概况</w:t>
      </w:r>
    </w:p>
    <w:p>
      <w:pPr>
        <w:ind w:firstLine="640" w:firstLineChars="200"/>
        <w:rPr>
          <w:rFonts w:ascii="仿宋_GB2312" w:eastAsia="仿宋_GB2312"/>
          <w:sz w:val="32"/>
          <w:szCs w:val="32"/>
        </w:rPr>
      </w:pPr>
      <w:r>
        <w:rPr>
          <w:rFonts w:hint="eastAsia" w:ascii="仿宋_GB2312" w:hAnsi="仿宋" w:eastAsia="仿宋_GB2312"/>
          <w:kern w:val="0"/>
          <w:sz w:val="32"/>
          <w:szCs w:val="32"/>
        </w:rPr>
        <w:t>我校2019年新增硕士点奖补资金预算下达100万元，按照</w:t>
      </w:r>
      <w:r>
        <w:rPr>
          <w:rFonts w:hint="eastAsia" w:ascii="仿宋_GB2312" w:hAnsi="仿宋" w:eastAsia="仿宋_GB2312"/>
          <w:sz w:val="32"/>
          <w:szCs w:val="32"/>
          <w:shd w:val="clear" w:color="auto" w:fill="FFFFFF"/>
        </w:rPr>
        <w:t>《统筹推进世界一流大学和一流学科建设总体方案》（国发[2015]64号）、《云南省政府关于印发云南省统筹推进一流大学和一流学科建设行动计划的通知》（云政办发[2018]8号）、《云南省学位委员会等7个部门关于印发云南省本科高等学校学科建设实施方案（2018-2030年）的通知》（云学位[2018]20号）等文件要求，结合</w:t>
      </w:r>
      <w:r>
        <w:rPr>
          <w:rFonts w:hint="eastAsia" w:ascii="仿宋_GB2312" w:hAnsi="仿宋" w:eastAsia="仿宋_GB2312"/>
          <w:color w:val="212121"/>
          <w:sz w:val="32"/>
          <w:szCs w:val="32"/>
          <w:shd w:val="clear" w:color="auto" w:fill="FFFFFF"/>
        </w:rPr>
        <w:t>《西南林业大学一流学科一流学科建设方案》</w:t>
      </w:r>
      <w:r>
        <w:rPr>
          <w:rFonts w:hint="eastAsia" w:ascii="仿宋_GB2312" w:hAnsi="仿宋" w:eastAsia="仿宋_GB2312"/>
          <w:sz w:val="32"/>
          <w:szCs w:val="32"/>
          <w:shd w:val="clear" w:color="auto" w:fill="FFFFFF"/>
        </w:rPr>
        <w:t>（西南林[2019]37号）</w:t>
      </w:r>
      <w:r>
        <w:rPr>
          <w:rFonts w:hint="eastAsia" w:ascii="仿宋_GB2312" w:hAnsi="仿宋" w:eastAsia="仿宋_GB2312"/>
          <w:color w:val="212121"/>
          <w:sz w:val="32"/>
          <w:szCs w:val="32"/>
          <w:shd w:val="clear" w:color="auto" w:fill="FFFFFF"/>
        </w:rPr>
        <w:t>，《西南林业大学2018-2020年学科学位点建设争先进位行动计划》</w:t>
      </w:r>
      <w:r>
        <w:rPr>
          <w:rFonts w:hint="eastAsia" w:ascii="仿宋_GB2312" w:hAnsi="仿宋" w:eastAsia="仿宋_GB2312"/>
          <w:sz w:val="32"/>
          <w:szCs w:val="32"/>
          <w:shd w:val="clear" w:color="auto" w:fill="FFFFFF"/>
        </w:rPr>
        <w:t>（西南林[2019]38号）文件</w:t>
      </w:r>
      <w:r>
        <w:rPr>
          <w:rFonts w:hint="eastAsia" w:ascii="仿宋_GB2312" w:hAnsi="仿宋" w:eastAsia="仿宋_GB2312"/>
          <w:color w:val="212121"/>
          <w:sz w:val="32"/>
          <w:szCs w:val="32"/>
          <w:shd w:val="clear" w:color="auto" w:fill="FFFFFF"/>
        </w:rPr>
        <w:t>精神</w:t>
      </w:r>
      <w:r>
        <w:rPr>
          <w:rFonts w:hint="eastAsia" w:ascii="仿宋_GB2312" w:hAnsi="仿宋" w:eastAsia="仿宋_GB2312"/>
          <w:sz w:val="32"/>
          <w:szCs w:val="32"/>
          <w:shd w:val="clear" w:color="auto" w:fill="FFFFFF"/>
        </w:rPr>
        <w:t>，经学校研究决定，本项目由</w:t>
      </w:r>
      <w:r>
        <w:rPr>
          <w:rFonts w:hint="eastAsia" w:ascii="仿宋_GB2312" w:hAnsi="仿宋" w:eastAsia="仿宋_GB2312"/>
          <w:sz w:val="32"/>
          <w:szCs w:val="32"/>
        </w:rPr>
        <w:t>发展规划处牵头组织，分项目由化学一级学科学位授权点所在学院具体负责实施。</w:t>
      </w:r>
    </w:p>
    <w:p>
      <w:pPr>
        <w:ind w:firstLine="640" w:firstLineChars="200"/>
        <w:rPr>
          <w:rFonts w:ascii="仿宋_GB2312" w:eastAsia="仿宋_GB2312"/>
          <w:sz w:val="32"/>
          <w:szCs w:val="32"/>
        </w:rPr>
      </w:pPr>
      <w:r>
        <w:rPr>
          <w:rFonts w:hint="eastAsia" w:ascii="仿宋_GB2312" w:hAnsi="仿宋" w:eastAsia="仿宋_GB2312"/>
          <w:sz w:val="32"/>
          <w:szCs w:val="32"/>
        </w:rPr>
        <w:t>所在学院制定了《化学工程学院“十三五”发展规划》和《化学工程学院2018-2020年人才队伍建设规划》。</w:t>
      </w:r>
      <w:r>
        <w:rPr>
          <w:rFonts w:hint="eastAsia" w:ascii="仿宋_GB2312" w:hAnsi="仿宋" w:eastAsia="仿宋_GB2312"/>
          <w:sz w:val="32"/>
          <w:szCs w:val="32"/>
          <w:shd w:val="clear" w:color="auto" w:fill="FFFFFF"/>
        </w:rPr>
        <w:t>项目符合中央、省委、省政府关于提高教育质量、大力促进科技创新等目标。通过项目实施，达到提高人才培养质量、推进学科建设、提升科技服务与创新能力。项目的受益对象明确，直接受益对象包括化学一级学科硕士学位授权点及相关学科学生、科研人员、教师，通过向社会提供高等教育、输送毕业生、开展科研工作及科技服务等，惠及社会稳定和地方经济发展。</w:t>
      </w:r>
    </w:p>
    <w:p>
      <w:pPr>
        <w:ind w:firstLine="480" w:firstLineChars="150"/>
        <w:rPr>
          <w:rFonts w:ascii="仿宋_GB2312" w:eastAsia="仿宋_GB2312"/>
          <w:sz w:val="32"/>
          <w:szCs w:val="32"/>
        </w:rPr>
      </w:pPr>
      <w:r>
        <w:rPr>
          <w:rFonts w:hint="eastAsia" w:ascii="楷体_GB2312" w:hAnsi="楷体_GB2312" w:eastAsia="楷体_GB2312" w:cs="楷体_GB2312"/>
          <w:sz w:val="32"/>
          <w:szCs w:val="32"/>
        </w:rPr>
        <w:t>(二)项目绩效目标设立情况</w:t>
      </w:r>
    </w:p>
    <w:p>
      <w:pPr>
        <w:ind w:firstLine="640" w:firstLineChars="200"/>
        <w:rPr>
          <w:rFonts w:ascii="仿宋_GB2312" w:hAnsi="楷体" w:eastAsia="仿宋_GB2312"/>
          <w:sz w:val="32"/>
          <w:szCs w:val="32"/>
        </w:rPr>
      </w:pPr>
      <w:r>
        <w:rPr>
          <w:rFonts w:hint="eastAsia" w:ascii="仿宋_GB2312" w:eastAsia="仿宋_GB2312"/>
          <w:sz w:val="32"/>
          <w:szCs w:val="32"/>
        </w:rPr>
        <w:t>1.</w:t>
      </w:r>
      <w:r>
        <w:rPr>
          <w:rFonts w:hint="eastAsia" w:ascii="仿宋_GB2312" w:hAnsi="楷体" w:eastAsia="仿宋_GB2312"/>
          <w:sz w:val="32"/>
          <w:szCs w:val="32"/>
          <w:shd w:val="clear" w:color="auto" w:fill="FFFFFF"/>
        </w:rPr>
        <w:t>学校总体</w:t>
      </w:r>
      <w:r>
        <w:rPr>
          <w:rFonts w:hint="eastAsia" w:ascii="仿宋_GB2312" w:hAnsi="楷体" w:eastAsia="仿宋_GB2312"/>
          <w:sz w:val="32"/>
          <w:szCs w:val="32"/>
        </w:rPr>
        <w:t>绩效目标</w:t>
      </w:r>
    </w:p>
    <w:p>
      <w:pPr>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根据云财教[2019]345号文件精神，结合学校实际，从2019年起，以3年为建设周期，建设目标为：</w:t>
      </w:r>
      <w:r>
        <w:rPr>
          <w:rFonts w:hint="eastAsia" w:ascii="仿宋_GB2312" w:hAnsi="仿宋" w:eastAsia="仿宋_GB2312"/>
          <w:sz w:val="32"/>
          <w:szCs w:val="32"/>
        </w:rPr>
        <w:t>力争在全国第四轮学科评估中获C-及以上的学科保档进位；2018年新增的化学一级学科硕士授权点通过合格评估，力争新增博士学位授权点1-2个、硕士学位授权点1-2个和专业硕士授权点1-2个；加大人才培养力度、师资建设、平台建设和科研水平提升，进一步完善学校内部治理，深化人事制度改革、科研成果管理改革、推进互联网+高等教育整合发展</w:t>
      </w:r>
      <w:r>
        <w:rPr>
          <w:rFonts w:hint="eastAsia" w:ascii="仿宋_GB2312" w:hAnsi="仿宋" w:eastAsia="仿宋_GB2312"/>
          <w:kern w:val="0"/>
          <w:sz w:val="32"/>
          <w:szCs w:val="32"/>
        </w:rPr>
        <w:t>。具体绩效目标详见附件1-1。</w:t>
      </w:r>
    </w:p>
    <w:p>
      <w:pPr>
        <w:ind w:firstLine="640" w:firstLineChars="200"/>
        <w:rPr>
          <w:rFonts w:ascii="仿宋_GB2312" w:hAnsi="楷体" w:eastAsia="仿宋_GB2312"/>
          <w:sz w:val="32"/>
          <w:szCs w:val="32"/>
        </w:rPr>
      </w:pPr>
      <w:r>
        <w:rPr>
          <w:rFonts w:hint="eastAsia" w:ascii="仿宋_GB2312" w:hAnsi="楷体" w:eastAsia="仿宋_GB2312"/>
          <w:sz w:val="32"/>
          <w:szCs w:val="32"/>
          <w:shd w:val="clear" w:color="auto" w:fill="FFFFFF"/>
        </w:rPr>
        <w:t>2.分项目</w:t>
      </w:r>
      <w:r>
        <w:rPr>
          <w:rFonts w:hint="eastAsia" w:ascii="仿宋_GB2312" w:hAnsi="楷体" w:eastAsia="仿宋_GB2312"/>
          <w:sz w:val="32"/>
          <w:szCs w:val="32"/>
        </w:rPr>
        <w:t>绩效目标</w:t>
      </w:r>
    </w:p>
    <w:p>
      <w:pPr>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从2019 年起，以3年为建设周期，分项目建设目标为：</w:t>
      </w:r>
      <w:r>
        <w:rPr>
          <w:rFonts w:hint="eastAsia" w:ascii="仿宋_GB2312" w:hAnsi="仿宋" w:eastAsia="仿宋_GB2312"/>
          <w:sz w:val="32"/>
          <w:szCs w:val="32"/>
        </w:rPr>
        <w:t>支撑林业工程、林学等2-3个学科保档进位；2018年新增的化学一级学科硕士授权点通过合格评估，支撑新增材料科学与工程一级硕士学科授权点1个，支持林产化学加工工程等3-4个相关硕士学科授权点建设；加大人才培养力度、师资建设、平台建设和科研水平提升，进一步完善学院内部治理，深化人事制度改革</w:t>
      </w:r>
      <w:r>
        <w:rPr>
          <w:rFonts w:hint="eastAsia" w:ascii="仿宋_GB2312" w:hAnsi="仿宋" w:eastAsia="仿宋_GB2312"/>
          <w:kern w:val="0"/>
          <w:sz w:val="32"/>
          <w:szCs w:val="32"/>
        </w:rPr>
        <w:t>。具体绩效目标详见附件1-2。</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(三)项目预算和预算执行情况</w:t>
      </w:r>
    </w:p>
    <w:p>
      <w:pPr>
        <w:ind w:firstLine="640" w:firstLineChars="200"/>
        <w:rPr>
          <w:rFonts w:ascii="仿宋_GB2312" w:eastAsia="仿宋_GB2312"/>
          <w:sz w:val="32"/>
          <w:szCs w:val="32"/>
        </w:rPr>
      </w:pPr>
      <w:r>
        <w:rPr>
          <w:rFonts w:hint="eastAsia" w:ascii="仿宋_GB2312" w:eastAsia="仿宋_GB2312"/>
          <w:sz w:val="32"/>
          <w:szCs w:val="32"/>
        </w:rPr>
        <w:t>预算批复金额为100万元，到位资金100万元，预算支出100万元，已全部执行完成。</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(四)项目预算管理制度建设情况</w:t>
      </w:r>
    </w:p>
    <w:p>
      <w:pPr>
        <w:ind w:firstLine="640" w:firstLineChars="200"/>
        <w:rPr>
          <w:rFonts w:ascii="仿宋_GB2312" w:eastAsia="仿宋_GB2312"/>
          <w:sz w:val="32"/>
          <w:szCs w:val="32"/>
        </w:rPr>
      </w:pPr>
      <w:r>
        <w:rPr>
          <w:rFonts w:hint="eastAsia" w:ascii="仿宋_GB2312" w:hAnsi="仿宋" w:eastAsia="仿宋_GB2312"/>
          <w:sz w:val="32"/>
          <w:szCs w:val="32"/>
        </w:rPr>
        <w:t>根据《中共中央 国务院关于全面实施预算绩效管理的意见》（</w:t>
      </w:r>
      <w:r>
        <w:rPr>
          <w:rFonts w:hint="eastAsia" w:ascii="仿宋_GB2312" w:hAnsi="仿宋" w:eastAsia="仿宋_GB2312"/>
          <w:sz w:val="32"/>
          <w:szCs w:val="32"/>
          <w:shd w:val="clear" w:color="auto" w:fill="FFFFFF"/>
        </w:rPr>
        <w:t>中发[2018]34号</w:t>
      </w:r>
      <w:r>
        <w:rPr>
          <w:rFonts w:hint="eastAsia" w:ascii="仿宋_GB2312" w:hAnsi="仿宋" w:eastAsia="仿宋_GB2312"/>
          <w:sz w:val="32"/>
          <w:szCs w:val="32"/>
        </w:rPr>
        <w:t>）、《云南省人民政府关于进一步深化预算改革加强预算管理的意见》（</w:t>
      </w:r>
      <w:r>
        <w:rPr>
          <w:rFonts w:hint="eastAsia" w:ascii="仿宋_GB2312" w:hAnsi="仿宋" w:eastAsia="仿宋_GB2312"/>
          <w:sz w:val="32"/>
          <w:szCs w:val="32"/>
          <w:shd w:val="clear" w:color="auto" w:fill="FFFFFF"/>
        </w:rPr>
        <w:t>云政发[2018]57号</w:t>
      </w:r>
      <w:r>
        <w:rPr>
          <w:rFonts w:hint="eastAsia" w:ascii="仿宋_GB2312" w:hAnsi="仿宋" w:eastAsia="仿宋_GB2312"/>
          <w:sz w:val="32"/>
          <w:szCs w:val="32"/>
        </w:rPr>
        <w:t>）、《中共云南省委 云南省人民政府关于全面实施预算绩效管理的实施意见》（</w:t>
      </w:r>
      <w:r>
        <w:rPr>
          <w:rFonts w:hint="eastAsia" w:ascii="仿宋_GB2312" w:hAnsi="仿宋" w:eastAsia="仿宋_GB2312"/>
          <w:sz w:val="32"/>
          <w:szCs w:val="32"/>
          <w:shd w:val="clear" w:color="auto" w:fill="FFFFFF"/>
        </w:rPr>
        <w:t>云发[2019]11号</w:t>
      </w:r>
      <w:r>
        <w:rPr>
          <w:rFonts w:hint="eastAsia" w:ascii="仿宋_GB2312" w:hAnsi="仿宋" w:eastAsia="仿宋_GB2312"/>
          <w:sz w:val="32"/>
          <w:szCs w:val="32"/>
        </w:rPr>
        <w:t>）精神，学校制定了《西南林业大学预算绩效管理办法（试行）》（</w:t>
      </w:r>
      <w:r>
        <w:rPr>
          <w:rFonts w:hint="eastAsia" w:ascii="仿宋_GB2312" w:hAnsi="仿宋" w:eastAsia="仿宋_GB2312"/>
          <w:sz w:val="32"/>
          <w:szCs w:val="32"/>
          <w:shd w:val="clear" w:color="auto" w:fill="FFFFFF"/>
        </w:rPr>
        <w:t>西南林[2019]76号</w:t>
      </w:r>
      <w:r>
        <w:rPr>
          <w:rFonts w:hint="eastAsia" w:ascii="仿宋_GB2312" w:hAnsi="仿宋" w:eastAsia="仿宋_GB2312"/>
          <w:sz w:val="32"/>
          <w:szCs w:val="32"/>
        </w:rPr>
        <w:t>）和《</w:t>
      </w:r>
      <w:r>
        <w:rPr>
          <w:rFonts w:hint="eastAsia" w:ascii="仿宋_GB2312" w:hAnsi="方正小标宋简体" w:eastAsia="仿宋_GB2312" w:cs="方正小标宋简体"/>
          <w:color w:val="000000"/>
          <w:sz w:val="32"/>
          <w:szCs w:val="32"/>
        </w:rPr>
        <w:t>西南林业大学预算绩效评价实施细则</w:t>
      </w:r>
      <w:r>
        <w:rPr>
          <w:rFonts w:hint="eastAsia" w:ascii="仿宋_GB2312" w:hAnsi="仿宋" w:eastAsia="仿宋_GB2312"/>
          <w:sz w:val="32"/>
          <w:szCs w:val="32"/>
        </w:rPr>
        <w:t>》（</w:t>
      </w:r>
      <w:r>
        <w:rPr>
          <w:rFonts w:hint="eastAsia" w:ascii="仿宋_GB2312" w:hAnsi="仿宋" w:eastAsia="仿宋_GB2312"/>
          <w:sz w:val="32"/>
          <w:szCs w:val="32"/>
          <w:shd w:val="clear" w:color="auto" w:fill="FFFFFF"/>
        </w:rPr>
        <w:t>西南林[2019]77号</w:t>
      </w:r>
      <w:r>
        <w:rPr>
          <w:rFonts w:hint="eastAsia" w:ascii="仿宋_GB2312" w:hAnsi="仿宋" w:eastAsia="仿宋_GB2312"/>
          <w:sz w:val="32"/>
          <w:szCs w:val="32"/>
        </w:rPr>
        <w:t>）。</w:t>
      </w:r>
    </w:p>
    <w:p>
      <w:pPr>
        <w:ind w:firstLine="640" w:firstLineChars="200"/>
        <w:rPr>
          <w:rFonts w:ascii="仿宋_GB2312" w:eastAsia="仿宋_GB2312"/>
          <w:sz w:val="32"/>
          <w:szCs w:val="32"/>
        </w:rPr>
      </w:pPr>
      <w:r>
        <w:rPr>
          <w:rFonts w:hint="eastAsia" w:ascii="仿宋_GB2312" w:hAnsi="仿宋" w:eastAsia="仿宋_GB2312"/>
          <w:sz w:val="32"/>
          <w:szCs w:val="32"/>
        </w:rPr>
        <w:t>学校决策机制健全，实行党委领导下的校长负责制，研究审议学校的三重一大事项。授权审批制度完善，修订了《西南林业大学财务审批制度》（</w:t>
      </w:r>
      <w:r>
        <w:rPr>
          <w:rFonts w:hint="eastAsia" w:ascii="仿宋_GB2312" w:hAnsi="仿宋" w:eastAsia="仿宋_GB2312"/>
          <w:sz w:val="32"/>
          <w:szCs w:val="32"/>
          <w:shd w:val="clear" w:color="auto" w:fill="FFFFFF"/>
        </w:rPr>
        <w:t>西南林[2019]77号</w:t>
      </w:r>
      <w:r>
        <w:rPr>
          <w:rFonts w:hint="eastAsia" w:ascii="仿宋_GB2312" w:hAnsi="仿宋" w:eastAsia="仿宋_GB2312"/>
          <w:sz w:val="32"/>
          <w:szCs w:val="32"/>
        </w:rPr>
        <w:t>），建立分级授权、重大财务支出会签审批的内部控制制度。组织机构职责明确，设立了专门负责国有资产管理及政府采购、科研管理、财务管理、审计及监察等组织机构，职责明确、各负其责。</w:t>
      </w:r>
      <w:r>
        <w:rPr>
          <w:rFonts w:hint="eastAsia" w:ascii="仿宋_GB2312" w:hAnsi="仿宋" w:eastAsia="仿宋_GB2312"/>
          <w:sz w:val="32"/>
          <w:szCs w:val="32"/>
          <w:shd w:val="clear" w:color="auto" w:fill="FFFFFF"/>
        </w:rPr>
        <w:t>学校制定了党委议事规则、校长办公会议事规则、货币资金控制等内部控制制度和风险防控制度。学院制定了“三重一大”决策机制，明确了经费报销审批权限。业务层面明确了预算管理、货币资金管理、科研经费管理等业务的内部控制。项目实施主体严格执行上述内控控制规定，实施中预算支出严格遵守《预算法》和《政府会计制度》。</w:t>
      </w:r>
    </w:p>
    <w:p>
      <w:pPr>
        <w:ind w:firstLine="640" w:firstLineChars="200"/>
        <w:rPr>
          <w:rFonts w:ascii="黑体" w:eastAsia="黑体"/>
          <w:sz w:val="32"/>
          <w:szCs w:val="32"/>
        </w:rPr>
      </w:pPr>
      <w:r>
        <w:rPr>
          <w:rFonts w:hint="eastAsia" w:ascii="黑体" w:eastAsia="黑体"/>
          <w:sz w:val="32"/>
          <w:szCs w:val="32"/>
        </w:rPr>
        <w:t>二、绩效自评体系（参照申报项目绩效指标表）</w:t>
      </w:r>
    </w:p>
    <w:p>
      <w:pPr>
        <w:ind w:firstLine="640" w:firstLineChars="200"/>
        <w:rPr>
          <w:rFonts w:ascii="仿宋_GB2312" w:eastAsia="仿宋_GB2312"/>
          <w:sz w:val="32"/>
          <w:szCs w:val="32"/>
        </w:rPr>
      </w:pPr>
      <w:r>
        <w:rPr>
          <w:rFonts w:hint="eastAsia" w:ascii="仿宋_GB2312" w:eastAsia="仿宋_GB2312"/>
          <w:sz w:val="32"/>
          <w:szCs w:val="32"/>
        </w:rPr>
        <w:t>绩效自评体系包括学校整体绩效自评体系和化学一级学科绩效自评体系，设定具体可量化、可考核的绩效指标，并确定绩效指标类型、细化绩效指标内容、明确绩效标准，具体绩效指标包括：一级指标（产出指标、效益指标和满意度指标），二级指标（数量指标、质量指标人才培养、可持续效益、服务对象满意度指标）和三级指标。</w:t>
      </w:r>
    </w:p>
    <w:p>
      <w:pPr>
        <w:ind w:firstLine="640" w:firstLineChars="200"/>
        <w:rPr>
          <w:rFonts w:ascii="黑体" w:eastAsia="黑体"/>
          <w:sz w:val="32"/>
          <w:szCs w:val="32"/>
        </w:rPr>
      </w:pPr>
      <w:r>
        <w:rPr>
          <w:rFonts w:hint="eastAsia" w:ascii="黑体" w:eastAsia="黑体"/>
          <w:sz w:val="32"/>
          <w:szCs w:val="32"/>
        </w:rPr>
        <w:t>三、自评情况分析及综合评价结论</w:t>
      </w:r>
    </w:p>
    <w:p>
      <w:pPr>
        <w:ind w:firstLine="640" w:firstLineChars="200"/>
        <w:rPr>
          <w:rFonts w:ascii="仿宋_GB2312" w:hAnsi="仿宋" w:eastAsia="仿宋_GB2312"/>
          <w:sz w:val="32"/>
          <w:szCs w:val="32"/>
        </w:rPr>
      </w:pPr>
      <w:r>
        <w:rPr>
          <w:rFonts w:hint="eastAsia" w:ascii="仿宋_GB2312" w:hAnsi="仿宋" w:eastAsia="仿宋_GB2312"/>
          <w:sz w:val="32"/>
          <w:szCs w:val="32"/>
        </w:rPr>
        <w:t>对照三年建设期内</w:t>
      </w:r>
      <w:r>
        <w:rPr>
          <w:rFonts w:hint="eastAsia" w:ascii="仿宋_GB2312" w:hAnsi="楷体" w:eastAsia="仿宋_GB2312"/>
          <w:sz w:val="32"/>
          <w:szCs w:val="32"/>
          <w:shd w:val="clear" w:color="auto" w:fill="FFFFFF"/>
        </w:rPr>
        <w:t>学校总体</w:t>
      </w:r>
      <w:r>
        <w:rPr>
          <w:rFonts w:hint="eastAsia" w:ascii="仿宋_GB2312" w:hAnsi="楷体" w:eastAsia="仿宋_GB2312"/>
          <w:sz w:val="32"/>
          <w:szCs w:val="32"/>
        </w:rPr>
        <w:t>绩效目标</w:t>
      </w:r>
      <w:r>
        <w:rPr>
          <w:rFonts w:hint="eastAsia" w:ascii="仿宋_GB2312" w:hAnsi="仿宋" w:eastAsia="仿宋_GB2312"/>
          <w:sz w:val="32"/>
          <w:szCs w:val="32"/>
        </w:rPr>
        <w:t>，2019年做好了第五轮学科评估、学位授权点申报和合格评估等相关准备工作，获批省部级及以上科技奖励3项，其中国家科技进步二等奖（人造板连续平压生产线节能高效技术）、第十届梁希林业科技进步二等奖（甜龙竹优良种质资源发掘及高效培育技术集成与创新）、云南省科技进步二等奖（</w:t>
      </w:r>
      <w:r>
        <w:rPr>
          <w:rFonts w:hint="eastAsia" w:ascii="仿宋_GB2312" w:hAnsi="微软雅黑" w:eastAsia="仿宋_GB2312"/>
          <w:sz w:val="32"/>
          <w:szCs w:val="32"/>
          <w:shd w:val="clear" w:color="auto" w:fill="FFFFFF"/>
        </w:rPr>
        <w:t>云南水分生态脆弱区植被退化机制与恢复关键技术</w:t>
      </w:r>
      <w:r>
        <w:rPr>
          <w:rFonts w:hint="eastAsia" w:ascii="仿宋_GB2312" w:hAnsi="仿宋" w:eastAsia="仿宋_GB2312"/>
          <w:sz w:val="32"/>
          <w:szCs w:val="32"/>
        </w:rPr>
        <w:t>）各1项。获批自然科学类纵向项目295项，人文社科类纵向项目108项，发表自然科学类论文726篇，在高层次人才、导师队伍建设、省部级科研平台、科研成果、人才培养、提升内部管理水平、促进学科建设持续稳定发展等方面均有较大提升，年度目标完成情况详见附件2-1。</w:t>
      </w:r>
    </w:p>
    <w:p>
      <w:pPr>
        <w:ind w:firstLine="640" w:firstLineChars="200"/>
        <w:rPr>
          <w:rFonts w:ascii="仿宋_GB2312" w:hAnsi="仿宋" w:eastAsia="仿宋_GB2312"/>
          <w:sz w:val="32"/>
          <w:szCs w:val="32"/>
        </w:rPr>
      </w:pPr>
      <w:r>
        <w:rPr>
          <w:rFonts w:hint="eastAsia" w:ascii="仿宋_GB2312" w:hAnsi="仿宋" w:eastAsia="仿宋_GB2312"/>
          <w:sz w:val="32"/>
          <w:szCs w:val="32"/>
        </w:rPr>
        <w:t>对照三年建设期内</w:t>
      </w:r>
      <w:r>
        <w:rPr>
          <w:rFonts w:hint="eastAsia" w:ascii="仿宋_GB2312" w:hAnsi="楷体" w:eastAsia="仿宋_GB2312"/>
          <w:sz w:val="32"/>
          <w:szCs w:val="32"/>
          <w:shd w:val="clear" w:color="auto" w:fill="FFFFFF"/>
        </w:rPr>
        <w:t>化学一级学科分项目</w:t>
      </w:r>
      <w:r>
        <w:rPr>
          <w:rFonts w:hint="eastAsia" w:ascii="仿宋_GB2312" w:hAnsi="楷体" w:eastAsia="仿宋_GB2312"/>
          <w:sz w:val="32"/>
          <w:szCs w:val="32"/>
        </w:rPr>
        <w:t>绩效目标</w:t>
      </w:r>
      <w:r>
        <w:rPr>
          <w:rFonts w:hint="eastAsia" w:ascii="仿宋_GB2312" w:hAnsi="仿宋" w:eastAsia="仿宋_GB2312"/>
          <w:sz w:val="32"/>
          <w:szCs w:val="32"/>
        </w:rPr>
        <w:t>， 2019年做好了第五轮学科评估准备工作，获批省部级及以上科技奖励2项、</w:t>
      </w:r>
      <w:r>
        <w:rPr>
          <w:rFonts w:hint="eastAsia" w:ascii="仿宋_GB2312" w:hAnsi="楷体" w:eastAsia="仿宋_GB2312"/>
          <w:color w:val="000000"/>
          <w:sz w:val="32"/>
          <w:szCs w:val="32"/>
        </w:rPr>
        <w:t>各级各类科研项目27项、</w:t>
      </w:r>
      <w:r>
        <w:rPr>
          <w:rFonts w:hint="eastAsia" w:ascii="仿宋_GB2312" w:eastAsia="仿宋_GB2312"/>
          <w:sz w:val="32"/>
          <w:szCs w:val="32"/>
        </w:rPr>
        <w:t>发表论文52篇（其中SCI收录28篇），</w:t>
      </w:r>
      <w:r>
        <w:rPr>
          <w:rFonts w:hint="eastAsia" w:ascii="仿宋_GB2312" w:hAnsi="仿宋" w:eastAsia="仿宋_GB2312"/>
          <w:sz w:val="32"/>
          <w:szCs w:val="32"/>
        </w:rPr>
        <w:t>设置开放基金18项</w:t>
      </w:r>
      <w:r>
        <w:rPr>
          <w:rFonts w:hint="eastAsia" w:ascii="仿宋_GB2312" w:eastAsia="仿宋_GB2312"/>
          <w:sz w:val="32"/>
          <w:szCs w:val="32"/>
        </w:rPr>
        <w:t>，</w:t>
      </w:r>
      <w:r>
        <w:rPr>
          <w:rFonts w:hint="eastAsia" w:ascii="仿宋_GB2312" w:hAnsi="仿宋" w:eastAsia="仿宋_GB2312"/>
          <w:sz w:val="32"/>
          <w:szCs w:val="32"/>
        </w:rPr>
        <w:t>在师资队伍建设、导师团队建设、科研成果、学术交流、人才培养、提升内部管理水平、促进学科建设持续稳定发展等方面均有较大提升，年度目标完成情况详见附件2-2。</w:t>
      </w:r>
    </w:p>
    <w:p>
      <w:pPr>
        <w:ind w:firstLine="640" w:firstLineChars="200"/>
        <w:rPr>
          <w:rFonts w:ascii="黑体" w:eastAsia="仿宋_GB2312"/>
          <w:color w:val="FF0000"/>
          <w:sz w:val="28"/>
          <w:szCs w:val="28"/>
        </w:rPr>
      </w:pPr>
      <w:r>
        <w:rPr>
          <w:rFonts w:hint="eastAsia" w:ascii="仿宋_GB2312" w:hAnsi="仿宋" w:eastAsia="仿宋_GB2312"/>
          <w:sz w:val="32"/>
          <w:szCs w:val="32"/>
        </w:rPr>
        <w:t>该项目自评分：</w:t>
      </w:r>
      <w:r>
        <w:rPr>
          <w:rFonts w:hint="eastAsia" w:ascii="仿宋_GB2312" w:hAnsi="仿宋" w:eastAsia="仿宋_GB2312"/>
          <w:sz w:val="32"/>
          <w:szCs w:val="32"/>
          <w:lang w:val="en-US" w:eastAsia="zh-CN"/>
        </w:rPr>
        <w:t>98.62</w:t>
      </w:r>
      <w:bookmarkStart w:id="0" w:name="_GoBack"/>
      <w:bookmarkEnd w:id="0"/>
      <w:r>
        <w:rPr>
          <w:rFonts w:hint="eastAsia" w:ascii="仿宋_GB2312" w:hAnsi="仿宋" w:eastAsia="仿宋_GB2312"/>
          <w:sz w:val="32"/>
          <w:szCs w:val="32"/>
        </w:rPr>
        <w:t>分，自评结论：优。</w:t>
      </w:r>
    </w:p>
    <w:p>
      <w:pPr>
        <w:ind w:firstLine="640" w:firstLineChars="200"/>
        <w:rPr>
          <w:rFonts w:ascii="黑体" w:eastAsia="黑体"/>
          <w:sz w:val="32"/>
          <w:szCs w:val="32"/>
        </w:rPr>
      </w:pPr>
      <w:r>
        <w:rPr>
          <w:rFonts w:hint="eastAsia" w:ascii="黑体" w:eastAsia="黑体"/>
          <w:sz w:val="32"/>
          <w:szCs w:val="32"/>
        </w:rPr>
        <w:t>四、存在的问题和整改情况</w:t>
      </w:r>
    </w:p>
    <w:p>
      <w:pPr>
        <w:ind w:firstLine="640" w:firstLineChars="200"/>
        <w:rPr>
          <w:rFonts w:ascii="黑体" w:eastAsia="黑体"/>
          <w:sz w:val="28"/>
          <w:szCs w:val="28"/>
        </w:rPr>
      </w:pPr>
      <w:r>
        <w:rPr>
          <w:rFonts w:hint="eastAsia" w:ascii="仿宋_GB2312" w:eastAsia="仿宋_GB2312"/>
          <w:sz w:val="32"/>
          <w:szCs w:val="32"/>
        </w:rPr>
        <w:t>无。</w:t>
      </w:r>
    </w:p>
    <w:p>
      <w:pPr>
        <w:ind w:firstLine="640" w:firstLineChars="200"/>
        <w:rPr>
          <w:rFonts w:ascii="黑体" w:hAnsi="黑体" w:eastAsia="黑体" w:cs="黑体"/>
          <w:sz w:val="32"/>
          <w:szCs w:val="32"/>
        </w:rPr>
      </w:pPr>
      <w:r>
        <w:rPr>
          <w:rFonts w:hint="eastAsia" w:ascii="黑体" w:hAnsi="黑体" w:eastAsia="黑体" w:cs="黑体"/>
          <w:sz w:val="32"/>
          <w:szCs w:val="32"/>
        </w:rPr>
        <w:t>五、绩效自评结果应用</w:t>
      </w:r>
    </w:p>
    <w:p>
      <w:pPr>
        <w:ind w:firstLine="640" w:firstLineChars="200"/>
        <w:rPr>
          <w:rFonts w:ascii="仿宋_GB2312" w:eastAsia="仿宋_GB2312"/>
          <w:sz w:val="32"/>
          <w:szCs w:val="32"/>
        </w:rPr>
      </w:pPr>
      <w:r>
        <w:rPr>
          <w:rFonts w:hint="eastAsia" w:ascii="Arial" w:hAnsi="Arial" w:eastAsia="仿宋_GB2312" w:cs="Arial"/>
          <w:bCs/>
          <w:color w:val="333333"/>
          <w:kern w:val="0"/>
          <w:sz w:val="32"/>
          <w:szCs w:val="32"/>
        </w:rPr>
        <w:t>绩效评价结果是衡量部门预算资金使用效果的重要依据之一，</w:t>
      </w:r>
      <w:r>
        <w:rPr>
          <w:rFonts w:hint="eastAsia" w:ascii="仿宋_GB2312" w:eastAsia="仿宋_GB2312"/>
          <w:sz w:val="32"/>
          <w:szCs w:val="32"/>
        </w:rPr>
        <w:t>在班子考核、党风廉政建设考核、目标责任考核、制度建设等管理工作方面均加以应用。</w:t>
      </w:r>
      <w:r>
        <w:rPr>
          <w:rFonts w:hint="eastAsia" w:ascii="仿宋_GB2312" w:hAnsi="宋体" w:eastAsia="仿宋_GB2312"/>
          <w:sz w:val="32"/>
          <w:szCs w:val="32"/>
        </w:rPr>
        <w:t>学校将绩效评价结果与预算资金安排、部门年度目标财务部分考核、内部审计等有机结合，为学校加强资金管理、提高资金使用效果提供重要依据和参考，并</w:t>
      </w:r>
      <w:r>
        <w:rPr>
          <w:rFonts w:hint="eastAsia" w:ascii="仿宋_GB2312" w:eastAsia="仿宋_GB2312"/>
          <w:sz w:val="32"/>
          <w:szCs w:val="32"/>
        </w:rPr>
        <w:t>视考核结果对所在部门在奖励性绩效分配上予以适当倾斜。</w:t>
      </w:r>
    </w:p>
    <w:p>
      <w:pPr>
        <w:ind w:firstLine="630" w:firstLineChars="196"/>
        <w:rPr>
          <w:rFonts w:ascii="黑体" w:hAnsi="黑体" w:eastAsia="黑体" w:cs="黑体"/>
          <w:bCs/>
          <w:sz w:val="32"/>
          <w:szCs w:val="32"/>
        </w:rPr>
      </w:pPr>
      <w:r>
        <w:rPr>
          <w:rFonts w:hint="eastAsia" w:ascii="黑体" w:hAnsi="黑体" w:eastAsia="黑体" w:cs="黑体"/>
          <w:b/>
          <w:sz w:val="32"/>
          <w:szCs w:val="32"/>
        </w:rPr>
        <w:t>六、</w:t>
      </w:r>
      <w:r>
        <w:rPr>
          <w:rFonts w:hint="eastAsia" w:ascii="黑体" w:hAnsi="黑体" w:eastAsia="黑体" w:cs="黑体"/>
          <w:bCs/>
          <w:sz w:val="32"/>
          <w:szCs w:val="32"/>
        </w:rPr>
        <w:t>主要经验及做法</w:t>
      </w:r>
    </w:p>
    <w:p>
      <w:pPr>
        <w:ind w:firstLine="640" w:firstLineChars="200"/>
        <w:rPr>
          <w:rFonts w:ascii="仿宋_GB2312" w:hAnsi="仿宋" w:eastAsia="仿宋_GB2312"/>
          <w:sz w:val="32"/>
          <w:szCs w:val="32"/>
        </w:rPr>
      </w:pPr>
      <w:r>
        <w:rPr>
          <w:rFonts w:hint="eastAsia" w:ascii="仿宋_GB2312" w:hAnsi="仿宋" w:eastAsia="仿宋_GB2312"/>
          <w:sz w:val="32"/>
          <w:szCs w:val="32"/>
        </w:rPr>
        <w:t>为做好第五轮学科评估和学位点申报工作，2019年学校对各学科实行季度汇报制度，各学科每季度汇报学科进展，取得较好效果。化学一级学科学位点所在学院以科研团队建设为突破，有机融合化学一级学科建设、国家林草局重点实验室平台建设等事关学院科研发展的关键要素，充分激发科技创新活力，在科研产出方面取得较好成效。</w:t>
      </w:r>
    </w:p>
    <w:p>
      <w:pPr>
        <w:ind w:firstLine="640" w:firstLineChars="200"/>
        <w:rPr>
          <w:rFonts w:ascii="仿宋_GB2312" w:hAnsi="宋体" w:eastAsia="仿宋_GB2312"/>
          <w:sz w:val="32"/>
          <w:szCs w:val="32"/>
        </w:rPr>
      </w:pPr>
      <w:r>
        <w:rPr>
          <w:rFonts w:hint="eastAsia" w:ascii="仿宋_GB2312" w:hAnsi="仿宋" w:eastAsia="仿宋_GB2312"/>
          <w:sz w:val="32"/>
          <w:szCs w:val="32"/>
        </w:rPr>
        <w:t>特此说明！</w:t>
      </w:r>
    </w:p>
    <w:p>
      <w:pPr>
        <w:ind w:firstLine="6400" w:firstLineChars="2000"/>
        <w:rPr>
          <w:rFonts w:ascii="仿宋_GB2312" w:hAnsi="宋体" w:eastAsia="仿宋_GB2312"/>
          <w:sz w:val="32"/>
          <w:szCs w:val="32"/>
        </w:rPr>
      </w:pPr>
    </w:p>
    <w:p>
      <w:pPr>
        <w:ind w:firstLine="6400" w:firstLineChars="2000"/>
        <w:rPr>
          <w:rFonts w:ascii="仿宋_GB2312" w:hAnsi="宋体" w:eastAsia="仿宋_GB2312"/>
          <w:sz w:val="32"/>
          <w:szCs w:val="32"/>
        </w:rPr>
      </w:pPr>
      <w:r>
        <w:rPr>
          <w:rFonts w:hint="eastAsia" w:ascii="仿宋_GB2312" w:hAnsi="宋体" w:eastAsia="仿宋_GB2312"/>
          <w:sz w:val="32"/>
          <w:szCs w:val="32"/>
        </w:rPr>
        <w:t>西南林业大学</w:t>
      </w:r>
    </w:p>
    <w:p>
      <w:pPr>
        <w:ind w:left="5760" w:hanging="5760" w:hangingChars="1800"/>
        <w:rPr>
          <w:rFonts w:ascii="仿宋_GB2312" w:hAnsi="仿宋_GB2312" w:eastAsia="仿宋_GB2312" w:cs="仿宋_GB2312"/>
          <w:bCs/>
          <w:color w:val="333333"/>
          <w:kern w:val="0"/>
          <w:sz w:val="32"/>
          <w:szCs w:val="32"/>
        </w:rPr>
      </w:pPr>
      <w:r>
        <w:rPr>
          <w:rFonts w:hint="eastAsia" w:ascii="仿宋_GB2312" w:hAnsi="宋体" w:eastAsia="仿宋_GB2312"/>
          <w:sz w:val="32"/>
          <w:szCs w:val="32"/>
        </w:rPr>
        <w:t xml:space="preserve">                                      2020年 </w:t>
      </w:r>
      <w:r>
        <w:rPr>
          <w:rFonts w:hint="eastAsia" w:ascii="仿宋_GB2312" w:hAnsi="宋体" w:eastAsia="仿宋_GB2312"/>
          <w:sz w:val="32"/>
          <w:szCs w:val="32"/>
          <w:lang w:val="en-US" w:eastAsia="zh-CN"/>
        </w:rPr>
        <w:t>4</w:t>
      </w:r>
      <w:r>
        <w:rPr>
          <w:rFonts w:hint="eastAsia" w:ascii="仿宋_GB2312" w:hAnsi="宋体" w:eastAsia="仿宋_GB2312"/>
          <w:sz w:val="32"/>
          <w:szCs w:val="32"/>
        </w:rPr>
        <w:t>月 16日</w:t>
      </w:r>
    </w:p>
    <w:sectPr>
      <w:footerReference r:id="rId3" w:type="default"/>
      <w:footerReference r:id="rId4" w:type="even"/>
      <w:pgSz w:w="11906" w:h="16838"/>
      <w:pgMar w:top="873" w:right="1236" w:bottom="873"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_x0000_s3084" o:spid="_x0000_s3084"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w:r>
    <w:r>
      <w:pict>
        <v:shape id="_x0000_s3081" o:spid="_x0000_s308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fldChar w:fldCharType="begin"/>
    </w:r>
    <w:r>
      <w:rPr>
        <w:rStyle w:val="8"/>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0335"/>
    <w:rsid w:val="00002962"/>
    <w:rsid w:val="00007BF3"/>
    <w:rsid w:val="00015619"/>
    <w:rsid w:val="000317C1"/>
    <w:rsid w:val="00036BAB"/>
    <w:rsid w:val="00054B3D"/>
    <w:rsid w:val="00060B1A"/>
    <w:rsid w:val="00076358"/>
    <w:rsid w:val="0007694C"/>
    <w:rsid w:val="00085B81"/>
    <w:rsid w:val="000918EF"/>
    <w:rsid w:val="000A372D"/>
    <w:rsid w:val="000B2DA1"/>
    <w:rsid w:val="000B304A"/>
    <w:rsid w:val="000B54D5"/>
    <w:rsid w:val="000C02CB"/>
    <w:rsid w:val="000C0360"/>
    <w:rsid w:val="000C7DA2"/>
    <w:rsid w:val="000D0FF3"/>
    <w:rsid w:val="000D7501"/>
    <w:rsid w:val="00112A80"/>
    <w:rsid w:val="00132207"/>
    <w:rsid w:val="00140AF5"/>
    <w:rsid w:val="00142045"/>
    <w:rsid w:val="001428D4"/>
    <w:rsid w:val="001471B8"/>
    <w:rsid w:val="00161844"/>
    <w:rsid w:val="0016596D"/>
    <w:rsid w:val="00167CAD"/>
    <w:rsid w:val="00171F3F"/>
    <w:rsid w:val="00173865"/>
    <w:rsid w:val="001761EB"/>
    <w:rsid w:val="00181B0C"/>
    <w:rsid w:val="00194CA6"/>
    <w:rsid w:val="001A770B"/>
    <w:rsid w:val="001E07FF"/>
    <w:rsid w:val="001E1A59"/>
    <w:rsid w:val="001F73A7"/>
    <w:rsid w:val="00216D86"/>
    <w:rsid w:val="00223A57"/>
    <w:rsid w:val="002312C2"/>
    <w:rsid w:val="002335F8"/>
    <w:rsid w:val="00234238"/>
    <w:rsid w:val="00252DF1"/>
    <w:rsid w:val="002553EB"/>
    <w:rsid w:val="002572D9"/>
    <w:rsid w:val="00257BC0"/>
    <w:rsid w:val="0027680C"/>
    <w:rsid w:val="00293333"/>
    <w:rsid w:val="002B1015"/>
    <w:rsid w:val="002B1016"/>
    <w:rsid w:val="002B7CB5"/>
    <w:rsid w:val="002D7F6E"/>
    <w:rsid w:val="002E4457"/>
    <w:rsid w:val="002F4498"/>
    <w:rsid w:val="00306CF1"/>
    <w:rsid w:val="003171B3"/>
    <w:rsid w:val="0032257F"/>
    <w:rsid w:val="00335CFE"/>
    <w:rsid w:val="00344A12"/>
    <w:rsid w:val="00346E07"/>
    <w:rsid w:val="00352C1C"/>
    <w:rsid w:val="003615C2"/>
    <w:rsid w:val="00371442"/>
    <w:rsid w:val="00371D5E"/>
    <w:rsid w:val="00382A49"/>
    <w:rsid w:val="00383836"/>
    <w:rsid w:val="00390726"/>
    <w:rsid w:val="0039712E"/>
    <w:rsid w:val="003A2421"/>
    <w:rsid w:val="003A3AF2"/>
    <w:rsid w:val="003A5A8A"/>
    <w:rsid w:val="003C1958"/>
    <w:rsid w:val="003C2A0D"/>
    <w:rsid w:val="003D0A0D"/>
    <w:rsid w:val="003E0335"/>
    <w:rsid w:val="003E6D7E"/>
    <w:rsid w:val="003F000C"/>
    <w:rsid w:val="003F5F36"/>
    <w:rsid w:val="004006EB"/>
    <w:rsid w:val="00412B61"/>
    <w:rsid w:val="004155B9"/>
    <w:rsid w:val="00416624"/>
    <w:rsid w:val="00423CD5"/>
    <w:rsid w:val="004370DC"/>
    <w:rsid w:val="00444B64"/>
    <w:rsid w:val="00444BDD"/>
    <w:rsid w:val="004559DA"/>
    <w:rsid w:val="0049419D"/>
    <w:rsid w:val="004D511B"/>
    <w:rsid w:val="004D6843"/>
    <w:rsid w:val="004F0378"/>
    <w:rsid w:val="004F6CD2"/>
    <w:rsid w:val="0050130D"/>
    <w:rsid w:val="00501631"/>
    <w:rsid w:val="00506C96"/>
    <w:rsid w:val="005213EB"/>
    <w:rsid w:val="00535E82"/>
    <w:rsid w:val="00555EBA"/>
    <w:rsid w:val="00562C97"/>
    <w:rsid w:val="0056639C"/>
    <w:rsid w:val="00567402"/>
    <w:rsid w:val="005678E7"/>
    <w:rsid w:val="00582F2D"/>
    <w:rsid w:val="00592681"/>
    <w:rsid w:val="005A01F0"/>
    <w:rsid w:val="005A7C1F"/>
    <w:rsid w:val="005C2EEB"/>
    <w:rsid w:val="005D12D6"/>
    <w:rsid w:val="005E25E6"/>
    <w:rsid w:val="005E5CB5"/>
    <w:rsid w:val="005E71D1"/>
    <w:rsid w:val="005F023F"/>
    <w:rsid w:val="00606711"/>
    <w:rsid w:val="00643307"/>
    <w:rsid w:val="006577A9"/>
    <w:rsid w:val="00670080"/>
    <w:rsid w:val="0067018C"/>
    <w:rsid w:val="006767DD"/>
    <w:rsid w:val="006813BE"/>
    <w:rsid w:val="006B18C9"/>
    <w:rsid w:val="006C2028"/>
    <w:rsid w:val="006C43A4"/>
    <w:rsid w:val="006D1155"/>
    <w:rsid w:val="006D4028"/>
    <w:rsid w:val="006E09A0"/>
    <w:rsid w:val="006E3D0C"/>
    <w:rsid w:val="0071056C"/>
    <w:rsid w:val="0073561A"/>
    <w:rsid w:val="00764F59"/>
    <w:rsid w:val="00782815"/>
    <w:rsid w:val="0079210E"/>
    <w:rsid w:val="0079519C"/>
    <w:rsid w:val="007A14A6"/>
    <w:rsid w:val="007A6E4B"/>
    <w:rsid w:val="007B57EA"/>
    <w:rsid w:val="007E7CF9"/>
    <w:rsid w:val="007F0FA2"/>
    <w:rsid w:val="007F37C0"/>
    <w:rsid w:val="0080527F"/>
    <w:rsid w:val="00805986"/>
    <w:rsid w:val="008170DD"/>
    <w:rsid w:val="0082631A"/>
    <w:rsid w:val="00875A42"/>
    <w:rsid w:val="008812AB"/>
    <w:rsid w:val="008A2D3F"/>
    <w:rsid w:val="008A2EC0"/>
    <w:rsid w:val="00903BFA"/>
    <w:rsid w:val="009112B7"/>
    <w:rsid w:val="00926062"/>
    <w:rsid w:val="00940DC2"/>
    <w:rsid w:val="00950817"/>
    <w:rsid w:val="0095618F"/>
    <w:rsid w:val="009615E6"/>
    <w:rsid w:val="00972C97"/>
    <w:rsid w:val="00973C90"/>
    <w:rsid w:val="00975923"/>
    <w:rsid w:val="009A44BF"/>
    <w:rsid w:val="009A5FCF"/>
    <w:rsid w:val="009B03F3"/>
    <w:rsid w:val="009B34A2"/>
    <w:rsid w:val="009B7A54"/>
    <w:rsid w:val="009C1E0F"/>
    <w:rsid w:val="009C1E73"/>
    <w:rsid w:val="009D094A"/>
    <w:rsid w:val="009F17D4"/>
    <w:rsid w:val="009F2732"/>
    <w:rsid w:val="009F77DA"/>
    <w:rsid w:val="00A0308F"/>
    <w:rsid w:val="00A165D2"/>
    <w:rsid w:val="00A31901"/>
    <w:rsid w:val="00A65112"/>
    <w:rsid w:val="00A83612"/>
    <w:rsid w:val="00A849CA"/>
    <w:rsid w:val="00AC0567"/>
    <w:rsid w:val="00AF2A50"/>
    <w:rsid w:val="00B01552"/>
    <w:rsid w:val="00B039EC"/>
    <w:rsid w:val="00B11FB8"/>
    <w:rsid w:val="00B14BFB"/>
    <w:rsid w:val="00B343AF"/>
    <w:rsid w:val="00B549E9"/>
    <w:rsid w:val="00B73B97"/>
    <w:rsid w:val="00B8657F"/>
    <w:rsid w:val="00B92458"/>
    <w:rsid w:val="00B978ED"/>
    <w:rsid w:val="00BA3BAF"/>
    <w:rsid w:val="00BB1128"/>
    <w:rsid w:val="00BB57F2"/>
    <w:rsid w:val="00BD1BCE"/>
    <w:rsid w:val="00BD3245"/>
    <w:rsid w:val="00BD73BC"/>
    <w:rsid w:val="00BD752E"/>
    <w:rsid w:val="00BE174D"/>
    <w:rsid w:val="00BF02D4"/>
    <w:rsid w:val="00C0640E"/>
    <w:rsid w:val="00C0775D"/>
    <w:rsid w:val="00C13B23"/>
    <w:rsid w:val="00C235ED"/>
    <w:rsid w:val="00C40747"/>
    <w:rsid w:val="00C409CC"/>
    <w:rsid w:val="00C41EB3"/>
    <w:rsid w:val="00C421F8"/>
    <w:rsid w:val="00C47B34"/>
    <w:rsid w:val="00C53221"/>
    <w:rsid w:val="00C54215"/>
    <w:rsid w:val="00C575EF"/>
    <w:rsid w:val="00C61E99"/>
    <w:rsid w:val="00C62521"/>
    <w:rsid w:val="00C7417A"/>
    <w:rsid w:val="00CC0B92"/>
    <w:rsid w:val="00CC5D79"/>
    <w:rsid w:val="00CD15ED"/>
    <w:rsid w:val="00CF0E09"/>
    <w:rsid w:val="00D05AB5"/>
    <w:rsid w:val="00D27E9A"/>
    <w:rsid w:val="00D57A0C"/>
    <w:rsid w:val="00D6050D"/>
    <w:rsid w:val="00DC73EF"/>
    <w:rsid w:val="00DD64C6"/>
    <w:rsid w:val="00DD6C80"/>
    <w:rsid w:val="00DE5052"/>
    <w:rsid w:val="00DE60E9"/>
    <w:rsid w:val="00E119EE"/>
    <w:rsid w:val="00E1297E"/>
    <w:rsid w:val="00E25705"/>
    <w:rsid w:val="00E55EE7"/>
    <w:rsid w:val="00E70F6A"/>
    <w:rsid w:val="00E76B64"/>
    <w:rsid w:val="00E86391"/>
    <w:rsid w:val="00E9220F"/>
    <w:rsid w:val="00EA7D72"/>
    <w:rsid w:val="00EC2C5F"/>
    <w:rsid w:val="00EC42B1"/>
    <w:rsid w:val="00ED5705"/>
    <w:rsid w:val="00EE2E87"/>
    <w:rsid w:val="00EF3083"/>
    <w:rsid w:val="00F24146"/>
    <w:rsid w:val="00F30DC4"/>
    <w:rsid w:val="00F331B7"/>
    <w:rsid w:val="00F600EA"/>
    <w:rsid w:val="00F601B9"/>
    <w:rsid w:val="00F612DA"/>
    <w:rsid w:val="00F73370"/>
    <w:rsid w:val="00F73C6F"/>
    <w:rsid w:val="00F74C29"/>
    <w:rsid w:val="00F76BE5"/>
    <w:rsid w:val="00F77E23"/>
    <w:rsid w:val="00F916A1"/>
    <w:rsid w:val="00F97A22"/>
    <w:rsid w:val="00FA098E"/>
    <w:rsid w:val="00FB335E"/>
    <w:rsid w:val="00FB7183"/>
    <w:rsid w:val="00FC069B"/>
    <w:rsid w:val="00FD5CCC"/>
    <w:rsid w:val="00FF3560"/>
    <w:rsid w:val="01274A0B"/>
    <w:rsid w:val="013B4ED1"/>
    <w:rsid w:val="018C3166"/>
    <w:rsid w:val="01987803"/>
    <w:rsid w:val="019C431E"/>
    <w:rsid w:val="01BB3AD7"/>
    <w:rsid w:val="025676B5"/>
    <w:rsid w:val="02A669AB"/>
    <w:rsid w:val="02AD6E5E"/>
    <w:rsid w:val="02C05991"/>
    <w:rsid w:val="02CB1ACB"/>
    <w:rsid w:val="02D77680"/>
    <w:rsid w:val="03092864"/>
    <w:rsid w:val="033518F4"/>
    <w:rsid w:val="03556F1A"/>
    <w:rsid w:val="037F00FC"/>
    <w:rsid w:val="03CD6B66"/>
    <w:rsid w:val="03DE1C95"/>
    <w:rsid w:val="03FF681B"/>
    <w:rsid w:val="04326C65"/>
    <w:rsid w:val="04766451"/>
    <w:rsid w:val="04B321C8"/>
    <w:rsid w:val="04B755D1"/>
    <w:rsid w:val="052370A5"/>
    <w:rsid w:val="053C6EDC"/>
    <w:rsid w:val="056C7A1B"/>
    <w:rsid w:val="05794836"/>
    <w:rsid w:val="06292348"/>
    <w:rsid w:val="065113E4"/>
    <w:rsid w:val="066F5EED"/>
    <w:rsid w:val="06781CEE"/>
    <w:rsid w:val="06A55E33"/>
    <w:rsid w:val="07022226"/>
    <w:rsid w:val="073873F8"/>
    <w:rsid w:val="078968E9"/>
    <w:rsid w:val="079437E3"/>
    <w:rsid w:val="07D31F03"/>
    <w:rsid w:val="080615DF"/>
    <w:rsid w:val="08462B2F"/>
    <w:rsid w:val="087937BC"/>
    <w:rsid w:val="089D06B9"/>
    <w:rsid w:val="08D7521F"/>
    <w:rsid w:val="095D5292"/>
    <w:rsid w:val="0962086C"/>
    <w:rsid w:val="09677593"/>
    <w:rsid w:val="099B72CD"/>
    <w:rsid w:val="099C3F3F"/>
    <w:rsid w:val="09AC38CD"/>
    <w:rsid w:val="0A0C5D80"/>
    <w:rsid w:val="0A71428C"/>
    <w:rsid w:val="0A7F0430"/>
    <w:rsid w:val="0AA61D77"/>
    <w:rsid w:val="0AC86F63"/>
    <w:rsid w:val="0B304A3B"/>
    <w:rsid w:val="0B906FA9"/>
    <w:rsid w:val="0BA21542"/>
    <w:rsid w:val="0BC82896"/>
    <w:rsid w:val="0BF07E49"/>
    <w:rsid w:val="0C3A512E"/>
    <w:rsid w:val="0CEF38F0"/>
    <w:rsid w:val="0D00753B"/>
    <w:rsid w:val="0D631B6B"/>
    <w:rsid w:val="0DDA19E0"/>
    <w:rsid w:val="0DE47B15"/>
    <w:rsid w:val="0DED089B"/>
    <w:rsid w:val="0E72030C"/>
    <w:rsid w:val="0E7D1FDC"/>
    <w:rsid w:val="0E8648A5"/>
    <w:rsid w:val="0F2428DC"/>
    <w:rsid w:val="0F723817"/>
    <w:rsid w:val="0FA96D8C"/>
    <w:rsid w:val="0FD51741"/>
    <w:rsid w:val="10182A3A"/>
    <w:rsid w:val="10FC23E8"/>
    <w:rsid w:val="11297F48"/>
    <w:rsid w:val="11575C9C"/>
    <w:rsid w:val="115E2A71"/>
    <w:rsid w:val="11DC4282"/>
    <w:rsid w:val="12F40EC0"/>
    <w:rsid w:val="13B12E61"/>
    <w:rsid w:val="13C37D98"/>
    <w:rsid w:val="14174531"/>
    <w:rsid w:val="1483338F"/>
    <w:rsid w:val="14BF5AAB"/>
    <w:rsid w:val="14F2343A"/>
    <w:rsid w:val="154A2876"/>
    <w:rsid w:val="15AA46B3"/>
    <w:rsid w:val="15E805A9"/>
    <w:rsid w:val="15EC6FAE"/>
    <w:rsid w:val="16AF1B54"/>
    <w:rsid w:val="17641B78"/>
    <w:rsid w:val="179E1CC3"/>
    <w:rsid w:val="18061BF5"/>
    <w:rsid w:val="18352B5E"/>
    <w:rsid w:val="183C5B97"/>
    <w:rsid w:val="1843475D"/>
    <w:rsid w:val="185C1FB8"/>
    <w:rsid w:val="187F0E19"/>
    <w:rsid w:val="19D112CE"/>
    <w:rsid w:val="1A1C6D3D"/>
    <w:rsid w:val="1A321ADD"/>
    <w:rsid w:val="1B0E38E9"/>
    <w:rsid w:val="1B791C1C"/>
    <w:rsid w:val="1BA331FE"/>
    <w:rsid w:val="1BDD5419"/>
    <w:rsid w:val="1C136791"/>
    <w:rsid w:val="1C411038"/>
    <w:rsid w:val="1C4A44E9"/>
    <w:rsid w:val="1C9F2797"/>
    <w:rsid w:val="1D4B589D"/>
    <w:rsid w:val="1D820D57"/>
    <w:rsid w:val="1DA65187"/>
    <w:rsid w:val="1E0B2995"/>
    <w:rsid w:val="1E41695C"/>
    <w:rsid w:val="1E5A03DA"/>
    <w:rsid w:val="1E5C71CA"/>
    <w:rsid w:val="1E707ABB"/>
    <w:rsid w:val="1EA73056"/>
    <w:rsid w:val="1F1555A8"/>
    <w:rsid w:val="1F59349F"/>
    <w:rsid w:val="1F5E60D3"/>
    <w:rsid w:val="1F6341C5"/>
    <w:rsid w:val="1F70187C"/>
    <w:rsid w:val="1F7362CE"/>
    <w:rsid w:val="1FDF4FB8"/>
    <w:rsid w:val="1FEE0219"/>
    <w:rsid w:val="201944ED"/>
    <w:rsid w:val="20272F89"/>
    <w:rsid w:val="21556449"/>
    <w:rsid w:val="21BB23DB"/>
    <w:rsid w:val="221E48F8"/>
    <w:rsid w:val="22731FAB"/>
    <w:rsid w:val="227D53BB"/>
    <w:rsid w:val="22854A54"/>
    <w:rsid w:val="229F0737"/>
    <w:rsid w:val="22BA137F"/>
    <w:rsid w:val="22C3601B"/>
    <w:rsid w:val="22F22620"/>
    <w:rsid w:val="22FA3E4B"/>
    <w:rsid w:val="235B1ED6"/>
    <w:rsid w:val="2399795E"/>
    <w:rsid w:val="23F96F7C"/>
    <w:rsid w:val="24187663"/>
    <w:rsid w:val="241968EB"/>
    <w:rsid w:val="243675FF"/>
    <w:rsid w:val="244F33E0"/>
    <w:rsid w:val="24A71A5F"/>
    <w:rsid w:val="24DC5AAA"/>
    <w:rsid w:val="24E53BFA"/>
    <w:rsid w:val="255D00CB"/>
    <w:rsid w:val="257C7362"/>
    <w:rsid w:val="25E8566F"/>
    <w:rsid w:val="2684662F"/>
    <w:rsid w:val="26A27C5A"/>
    <w:rsid w:val="275B3917"/>
    <w:rsid w:val="27C00B65"/>
    <w:rsid w:val="27C15937"/>
    <w:rsid w:val="27F67452"/>
    <w:rsid w:val="288A7D9E"/>
    <w:rsid w:val="28915CA8"/>
    <w:rsid w:val="28A77954"/>
    <w:rsid w:val="28AD30FE"/>
    <w:rsid w:val="28E968E2"/>
    <w:rsid w:val="290428BD"/>
    <w:rsid w:val="299360A5"/>
    <w:rsid w:val="29E41780"/>
    <w:rsid w:val="29F71176"/>
    <w:rsid w:val="2A4E1408"/>
    <w:rsid w:val="2A961EF1"/>
    <w:rsid w:val="2ACB0D86"/>
    <w:rsid w:val="2AF07AC7"/>
    <w:rsid w:val="2B5E79D5"/>
    <w:rsid w:val="2BEC2B36"/>
    <w:rsid w:val="2BF310E5"/>
    <w:rsid w:val="2C0E54EB"/>
    <w:rsid w:val="2C2D3E3C"/>
    <w:rsid w:val="2C375E48"/>
    <w:rsid w:val="2C7D63D2"/>
    <w:rsid w:val="2CC72BE6"/>
    <w:rsid w:val="2D08235E"/>
    <w:rsid w:val="2D634950"/>
    <w:rsid w:val="2DD96108"/>
    <w:rsid w:val="2E0F2858"/>
    <w:rsid w:val="2E6D4E26"/>
    <w:rsid w:val="2EBF7EF9"/>
    <w:rsid w:val="30012AC2"/>
    <w:rsid w:val="30306FEF"/>
    <w:rsid w:val="303C3344"/>
    <w:rsid w:val="30CB5A40"/>
    <w:rsid w:val="30F5535D"/>
    <w:rsid w:val="30F56704"/>
    <w:rsid w:val="315412B9"/>
    <w:rsid w:val="31B21635"/>
    <w:rsid w:val="31C231AE"/>
    <w:rsid w:val="32235865"/>
    <w:rsid w:val="322A7F39"/>
    <w:rsid w:val="322D50B8"/>
    <w:rsid w:val="32900393"/>
    <w:rsid w:val="32BE39CE"/>
    <w:rsid w:val="32EF5F70"/>
    <w:rsid w:val="3363323B"/>
    <w:rsid w:val="33EA2D10"/>
    <w:rsid w:val="33EC47B7"/>
    <w:rsid w:val="340C485D"/>
    <w:rsid w:val="342133DF"/>
    <w:rsid w:val="344F5A4A"/>
    <w:rsid w:val="34586B6A"/>
    <w:rsid w:val="346B27F6"/>
    <w:rsid w:val="34792C0A"/>
    <w:rsid w:val="34B922CF"/>
    <w:rsid w:val="34F50A1F"/>
    <w:rsid w:val="34FD2835"/>
    <w:rsid w:val="35003019"/>
    <w:rsid w:val="35AA309D"/>
    <w:rsid w:val="35F226C8"/>
    <w:rsid w:val="35F77EF3"/>
    <w:rsid w:val="35F9385E"/>
    <w:rsid w:val="360B05A6"/>
    <w:rsid w:val="367D1FF0"/>
    <w:rsid w:val="3684398A"/>
    <w:rsid w:val="36EA5716"/>
    <w:rsid w:val="36FB6666"/>
    <w:rsid w:val="379727A0"/>
    <w:rsid w:val="38010DF4"/>
    <w:rsid w:val="386D7413"/>
    <w:rsid w:val="38742F76"/>
    <w:rsid w:val="389D27D2"/>
    <w:rsid w:val="38AA402C"/>
    <w:rsid w:val="38F74AC1"/>
    <w:rsid w:val="39122151"/>
    <w:rsid w:val="3A1E0A1D"/>
    <w:rsid w:val="3A352636"/>
    <w:rsid w:val="3ABF1311"/>
    <w:rsid w:val="3AF94EA1"/>
    <w:rsid w:val="3B6B6092"/>
    <w:rsid w:val="3BAC106F"/>
    <w:rsid w:val="3BB05445"/>
    <w:rsid w:val="3BCF56C9"/>
    <w:rsid w:val="3BD63291"/>
    <w:rsid w:val="3D2D72B6"/>
    <w:rsid w:val="3D5E7398"/>
    <w:rsid w:val="3DA41053"/>
    <w:rsid w:val="3DC55F3B"/>
    <w:rsid w:val="3DDC05FA"/>
    <w:rsid w:val="3DE52D6F"/>
    <w:rsid w:val="3DFB0AAF"/>
    <w:rsid w:val="3EA375BD"/>
    <w:rsid w:val="3EC26B8E"/>
    <w:rsid w:val="3F6519B1"/>
    <w:rsid w:val="3F7263D6"/>
    <w:rsid w:val="3F86491B"/>
    <w:rsid w:val="3FB20A61"/>
    <w:rsid w:val="40212E11"/>
    <w:rsid w:val="402D2CA4"/>
    <w:rsid w:val="40330EA9"/>
    <w:rsid w:val="40825B84"/>
    <w:rsid w:val="40AB1467"/>
    <w:rsid w:val="40FA4874"/>
    <w:rsid w:val="412E637C"/>
    <w:rsid w:val="418D1556"/>
    <w:rsid w:val="41DE1381"/>
    <w:rsid w:val="41E816F4"/>
    <w:rsid w:val="42194263"/>
    <w:rsid w:val="42847753"/>
    <w:rsid w:val="431D71ED"/>
    <w:rsid w:val="43775AE8"/>
    <w:rsid w:val="43825F82"/>
    <w:rsid w:val="43AD4F25"/>
    <w:rsid w:val="441840D1"/>
    <w:rsid w:val="442C1CB8"/>
    <w:rsid w:val="447B06D1"/>
    <w:rsid w:val="44FC512B"/>
    <w:rsid w:val="455A13D9"/>
    <w:rsid w:val="455D13F5"/>
    <w:rsid w:val="45643BD6"/>
    <w:rsid w:val="45842692"/>
    <w:rsid w:val="45C347A0"/>
    <w:rsid w:val="45F36B94"/>
    <w:rsid w:val="462F03FF"/>
    <w:rsid w:val="46361B67"/>
    <w:rsid w:val="463A29A9"/>
    <w:rsid w:val="47682190"/>
    <w:rsid w:val="479A233D"/>
    <w:rsid w:val="47F46CD8"/>
    <w:rsid w:val="480506F4"/>
    <w:rsid w:val="48C925D7"/>
    <w:rsid w:val="48F4609A"/>
    <w:rsid w:val="49053AAE"/>
    <w:rsid w:val="49141446"/>
    <w:rsid w:val="491977CD"/>
    <w:rsid w:val="49DC5EB3"/>
    <w:rsid w:val="4A080A75"/>
    <w:rsid w:val="4A7B555B"/>
    <w:rsid w:val="4AB970D5"/>
    <w:rsid w:val="4AC6508C"/>
    <w:rsid w:val="4AD9239F"/>
    <w:rsid w:val="4AF03A38"/>
    <w:rsid w:val="4B396ECA"/>
    <w:rsid w:val="4BE5624F"/>
    <w:rsid w:val="4C006075"/>
    <w:rsid w:val="4C0F591F"/>
    <w:rsid w:val="4D774B54"/>
    <w:rsid w:val="4D8C3532"/>
    <w:rsid w:val="4DB634E3"/>
    <w:rsid w:val="4DF92CDA"/>
    <w:rsid w:val="4E2B1D62"/>
    <w:rsid w:val="4E4441F8"/>
    <w:rsid w:val="4E8559B6"/>
    <w:rsid w:val="4E9744CD"/>
    <w:rsid w:val="4EA233D9"/>
    <w:rsid w:val="4EA23676"/>
    <w:rsid w:val="4EB75AAD"/>
    <w:rsid w:val="4ED02851"/>
    <w:rsid w:val="4EDE204A"/>
    <w:rsid w:val="4F3914DD"/>
    <w:rsid w:val="4F7D70DB"/>
    <w:rsid w:val="4F984178"/>
    <w:rsid w:val="4FCB18B8"/>
    <w:rsid w:val="50AA79E3"/>
    <w:rsid w:val="51067FB1"/>
    <w:rsid w:val="514E52FD"/>
    <w:rsid w:val="5218138C"/>
    <w:rsid w:val="52313A2A"/>
    <w:rsid w:val="52661627"/>
    <w:rsid w:val="53226758"/>
    <w:rsid w:val="53351E34"/>
    <w:rsid w:val="536738DF"/>
    <w:rsid w:val="53E83350"/>
    <w:rsid w:val="54356399"/>
    <w:rsid w:val="54616F39"/>
    <w:rsid w:val="546A6289"/>
    <w:rsid w:val="54A12870"/>
    <w:rsid w:val="54AD01AD"/>
    <w:rsid w:val="54CD2830"/>
    <w:rsid w:val="54CE7FB1"/>
    <w:rsid w:val="54FA2A27"/>
    <w:rsid w:val="54FC381B"/>
    <w:rsid w:val="550C242F"/>
    <w:rsid w:val="55A35995"/>
    <w:rsid w:val="565A6335"/>
    <w:rsid w:val="576E644E"/>
    <w:rsid w:val="57EA2E01"/>
    <w:rsid w:val="585874AE"/>
    <w:rsid w:val="588A0B0D"/>
    <w:rsid w:val="58954B9C"/>
    <w:rsid w:val="58AC7E4C"/>
    <w:rsid w:val="58CA5212"/>
    <w:rsid w:val="593A3505"/>
    <w:rsid w:val="59E514D0"/>
    <w:rsid w:val="5A4D5346"/>
    <w:rsid w:val="5A831453"/>
    <w:rsid w:val="5AA271A1"/>
    <w:rsid w:val="5AFB3CA9"/>
    <w:rsid w:val="5B137F80"/>
    <w:rsid w:val="5BAA5F7D"/>
    <w:rsid w:val="5BB65795"/>
    <w:rsid w:val="5BD76E0D"/>
    <w:rsid w:val="5C066255"/>
    <w:rsid w:val="5C5D29AE"/>
    <w:rsid w:val="5CAF4F88"/>
    <w:rsid w:val="5D1262BA"/>
    <w:rsid w:val="5DD06367"/>
    <w:rsid w:val="5DF30973"/>
    <w:rsid w:val="5E437CF2"/>
    <w:rsid w:val="5E5F4D8C"/>
    <w:rsid w:val="5E8417ED"/>
    <w:rsid w:val="5F7A5A77"/>
    <w:rsid w:val="6096687A"/>
    <w:rsid w:val="609C4311"/>
    <w:rsid w:val="61242E1B"/>
    <w:rsid w:val="619C3AE9"/>
    <w:rsid w:val="61B323E8"/>
    <w:rsid w:val="62766CCF"/>
    <w:rsid w:val="62C82373"/>
    <w:rsid w:val="62FB3E9F"/>
    <w:rsid w:val="632675AB"/>
    <w:rsid w:val="63484E6D"/>
    <w:rsid w:val="63657593"/>
    <w:rsid w:val="637252C2"/>
    <w:rsid w:val="63BD40B4"/>
    <w:rsid w:val="63E61278"/>
    <w:rsid w:val="64746F2C"/>
    <w:rsid w:val="649F0045"/>
    <w:rsid w:val="64A71496"/>
    <w:rsid w:val="64B65714"/>
    <w:rsid w:val="64C41EE4"/>
    <w:rsid w:val="65022CCB"/>
    <w:rsid w:val="657D155F"/>
    <w:rsid w:val="657F7942"/>
    <w:rsid w:val="658B70DF"/>
    <w:rsid w:val="65945414"/>
    <w:rsid w:val="65AB539B"/>
    <w:rsid w:val="667A5976"/>
    <w:rsid w:val="66BD6EBF"/>
    <w:rsid w:val="66F82565"/>
    <w:rsid w:val="673349F4"/>
    <w:rsid w:val="67AB5B75"/>
    <w:rsid w:val="67B36FE1"/>
    <w:rsid w:val="67C930AA"/>
    <w:rsid w:val="67CB09B5"/>
    <w:rsid w:val="686915D9"/>
    <w:rsid w:val="68764859"/>
    <w:rsid w:val="687D570C"/>
    <w:rsid w:val="688702EA"/>
    <w:rsid w:val="68CC7864"/>
    <w:rsid w:val="68FB2890"/>
    <w:rsid w:val="692C6329"/>
    <w:rsid w:val="69522BF8"/>
    <w:rsid w:val="6A183545"/>
    <w:rsid w:val="6A587DA1"/>
    <w:rsid w:val="6A9A5B90"/>
    <w:rsid w:val="6AA83156"/>
    <w:rsid w:val="6AAB0914"/>
    <w:rsid w:val="6AF24E5E"/>
    <w:rsid w:val="6AFB1D23"/>
    <w:rsid w:val="6B095120"/>
    <w:rsid w:val="6B096DB5"/>
    <w:rsid w:val="6B982663"/>
    <w:rsid w:val="6BC23AD5"/>
    <w:rsid w:val="6BD63E9F"/>
    <w:rsid w:val="6C462374"/>
    <w:rsid w:val="6C9D7987"/>
    <w:rsid w:val="6D166F32"/>
    <w:rsid w:val="6D1C1030"/>
    <w:rsid w:val="6D2A5387"/>
    <w:rsid w:val="6D6D2053"/>
    <w:rsid w:val="6E950196"/>
    <w:rsid w:val="6EAB0F44"/>
    <w:rsid w:val="6F15728F"/>
    <w:rsid w:val="6F262AD5"/>
    <w:rsid w:val="6F5B18FC"/>
    <w:rsid w:val="6FA471B1"/>
    <w:rsid w:val="6FED3F42"/>
    <w:rsid w:val="70B02C23"/>
    <w:rsid w:val="70DD6ABA"/>
    <w:rsid w:val="70F421F6"/>
    <w:rsid w:val="710E10C3"/>
    <w:rsid w:val="71367E50"/>
    <w:rsid w:val="7143696B"/>
    <w:rsid w:val="715114E8"/>
    <w:rsid w:val="71586780"/>
    <w:rsid w:val="715E170F"/>
    <w:rsid w:val="71763098"/>
    <w:rsid w:val="71941255"/>
    <w:rsid w:val="71A06680"/>
    <w:rsid w:val="71A67E72"/>
    <w:rsid w:val="71C13592"/>
    <w:rsid w:val="71DE04E0"/>
    <w:rsid w:val="72915843"/>
    <w:rsid w:val="73136A5F"/>
    <w:rsid w:val="7318796C"/>
    <w:rsid w:val="735E0E4E"/>
    <w:rsid w:val="73A153D2"/>
    <w:rsid w:val="74553DFA"/>
    <w:rsid w:val="74690307"/>
    <w:rsid w:val="7485215F"/>
    <w:rsid w:val="755E618B"/>
    <w:rsid w:val="75A86990"/>
    <w:rsid w:val="75DD5BAB"/>
    <w:rsid w:val="763D4870"/>
    <w:rsid w:val="76507D5F"/>
    <w:rsid w:val="76AE4BE1"/>
    <w:rsid w:val="76E22DFB"/>
    <w:rsid w:val="77046550"/>
    <w:rsid w:val="77467034"/>
    <w:rsid w:val="774B395A"/>
    <w:rsid w:val="775320A0"/>
    <w:rsid w:val="776544E8"/>
    <w:rsid w:val="77B43767"/>
    <w:rsid w:val="77BA75EE"/>
    <w:rsid w:val="77CB4B3D"/>
    <w:rsid w:val="784A39C6"/>
    <w:rsid w:val="787779E2"/>
    <w:rsid w:val="78DC5837"/>
    <w:rsid w:val="791010A3"/>
    <w:rsid w:val="793331A9"/>
    <w:rsid w:val="79E3122F"/>
    <w:rsid w:val="7A064725"/>
    <w:rsid w:val="7A0A72F6"/>
    <w:rsid w:val="7A8406FA"/>
    <w:rsid w:val="7B1404B0"/>
    <w:rsid w:val="7B204236"/>
    <w:rsid w:val="7B3A758C"/>
    <w:rsid w:val="7B4076D1"/>
    <w:rsid w:val="7B4119BD"/>
    <w:rsid w:val="7BAB0E8D"/>
    <w:rsid w:val="7BDC2841"/>
    <w:rsid w:val="7BEC4A1F"/>
    <w:rsid w:val="7C5406C9"/>
    <w:rsid w:val="7CD73114"/>
    <w:rsid w:val="7DBB42B9"/>
    <w:rsid w:val="7DE70DEF"/>
    <w:rsid w:val="7DF01880"/>
    <w:rsid w:val="7E4D170E"/>
    <w:rsid w:val="7F3A661D"/>
    <w:rsid w:val="7FAE46B8"/>
    <w:rsid w:val="7FB92ED6"/>
    <w:rsid w:val="7FC3657B"/>
    <w:rsid w:val="7FCD0E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8"/>
    <w:uiPriority w:val="0"/>
    <w:rPr>
      <w:sz w:val="30"/>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99"/>
    <w:rPr>
      <w:rFonts w:cs="Times New Roman"/>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link w:val="6"/>
    <w:semiHidden/>
    <w:qFormat/>
    <w:uiPriority w:val="99"/>
    <w:rPr>
      <w:sz w:val="18"/>
      <w:szCs w:val="18"/>
    </w:rPr>
  </w:style>
  <w:style w:type="character" w:customStyle="1" w:styleId="12">
    <w:name w:val="页脚 Char"/>
    <w:link w:val="5"/>
    <w:semiHidden/>
    <w:qFormat/>
    <w:uiPriority w:val="99"/>
    <w:rPr>
      <w:sz w:val="18"/>
      <w:szCs w:val="18"/>
    </w:rPr>
  </w:style>
  <w:style w:type="character" w:customStyle="1" w:styleId="13">
    <w:name w:val="font31"/>
    <w:basedOn w:val="7"/>
    <w:qFormat/>
    <w:uiPriority w:val="99"/>
    <w:rPr>
      <w:rFonts w:ascii="宋体" w:hAnsi="宋体" w:eastAsia="宋体" w:cs="宋体"/>
      <w:color w:val="000000"/>
      <w:sz w:val="20"/>
      <w:szCs w:val="20"/>
      <w:u w:val="none"/>
    </w:rPr>
  </w:style>
  <w:style w:type="character" w:customStyle="1" w:styleId="14">
    <w:name w:val="font11"/>
    <w:basedOn w:val="7"/>
    <w:qFormat/>
    <w:uiPriority w:val="99"/>
    <w:rPr>
      <w:rFonts w:ascii="宋体" w:hAnsi="宋体" w:eastAsia="宋体" w:cs="宋体"/>
      <w:b/>
      <w:color w:val="000000"/>
      <w:sz w:val="20"/>
      <w:szCs w:val="20"/>
      <w:u w:val="none"/>
    </w:rPr>
  </w:style>
  <w:style w:type="character" w:customStyle="1" w:styleId="15">
    <w:name w:val="font01"/>
    <w:basedOn w:val="7"/>
    <w:qFormat/>
    <w:uiPriority w:val="0"/>
    <w:rPr>
      <w:rFonts w:hint="eastAsia" w:ascii="宋体" w:hAnsi="宋体" w:eastAsia="宋体" w:cs="宋体"/>
      <w:color w:val="000000"/>
      <w:sz w:val="24"/>
      <w:szCs w:val="24"/>
      <w:u w:val="none"/>
    </w:rPr>
  </w:style>
  <w:style w:type="character" w:customStyle="1" w:styleId="16">
    <w:name w:val="批注框文本 Char"/>
    <w:basedOn w:val="7"/>
    <w:link w:val="4"/>
    <w:semiHidden/>
    <w:qFormat/>
    <w:uiPriority w:val="99"/>
    <w:rPr>
      <w:kern w:val="2"/>
      <w:sz w:val="18"/>
      <w:szCs w:val="18"/>
    </w:rPr>
  </w:style>
  <w:style w:type="character" w:customStyle="1" w:styleId="17">
    <w:name w:val="日期 Char"/>
    <w:basedOn w:val="7"/>
    <w:link w:val="3"/>
    <w:semiHidden/>
    <w:qFormat/>
    <w:uiPriority w:val="99"/>
    <w:rPr>
      <w:kern w:val="2"/>
      <w:sz w:val="21"/>
      <w:szCs w:val="24"/>
    </w:rPr>
  </w:style>
  <w:style w:type="character" w:customStyle="1" w:styleId="18">
    <w:name w:val="正文文本 Char"/>
    <w:basedOn w:val="7"/>
    <w:link w:val="2"/>
    <w:qFormat/>
    <w:uiPriority w:val="0"/>
    <w:rPr>
      <w:kern w:val="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84"/>
    <customShpInfo spid="_x0000_s3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423</Words>
  <Characters>2417</Characters>
  <Lines>20</Lines>
  <Paragraphs>5</Paragraphs>
  <TotalTime>19</TotalTime>
  <ScaleCrop>false</ScaleCrop>
  <LinksUpToDate>false</LinksUpToDate>
  <CharactersWithSpaces>2835</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2020-03-17T03:22:00Z</dcterms:created>
  <dc:creator>user</dc:creator>
  <cp:lastModifiedBy>张茂</cp:lastModifiedBy>
  <cp:lastPrinted>2020-07-02T01:58:00Z</cp:lastPrinted>
  <dcterms:modified xsi:type="dcterms:W3CDTF">2020-09-01T07:34:16Z</dcterms:modified>
  <dc:title>西南林业大学预算资金绩效自评暂行办法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